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724BCA" w:rsidRPr="00AB5916" w:rsidRDefault="00724BCA" w:rsidP="00724B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Laura Guadalupe Bautista Palacios</w:t>
      </w:r>
    </w:p>
    <w:p w:rsidR="00724BCA" w:rsidRPr="00775DFD" w:rsidRDefault="00724BCA" w:rsidP="00724BCA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 w:themeColor="text1" w:themeTint="BF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</w:t>
      </w:r>
      <w:r w:rsidRPr="00775DFD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 xml:space="preserve">Escolaridad </w:t>
      </w:r>
      <w:r w:rsidRPr="00775DFD">
        <w:rPr>
          <w:rFonts w:ascii="Neo Sans Pro" w:hAnsi="Neo Sans Pro" w:cs="NeoSansPro-Regular"/>
          <w:color w:val="404040" w:themeColor="text1" w:themeTint="BF"/>
          <w:sz w:val="20"/>
          <w:szCs w:val="20"/>
        </w:rPr>
        <w:t>Licenciado en Derecho</w:t>
      </w:r>
    </w:p>
    <w:p w:rsidR="00724BCA" w:rsidRPr="00775DFD" w:rsidRDefault="00724BCA" w:rsidP="00724BCA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 xml:space="preserve">Cédula Profesional  </w:t>
      </w: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4118877</w:t>
      </w:r>
    </w:p>
    <w:p w:rsidR="00724BCA" w:rsidRPr="00775DFD" w:rsidRDefault="00724BCA" w:rsidP="00724BCA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 xml:space="preserve">Teléfono de Oficina </w:t>
      </w:r>
      <w:r>
        <w:rPr>
          <w:rFonts w:ascii="Neo Sans Pro" w:hAnsi="Neo Sans Pro" w:cs="NeoSansPro-Regular"/>
          <w:color w:val="404040" w:themeColor="text1" w:themeTint="BF"/>
          <w:sz w:val="20"/>
          <w:szCs w:val="20"/>
        </w:rPr>
        <w:t>7898930273</w:t>
      </w:r>
    </w:p>
    <w:p w:rsidR="00724BCA" w:rsidRPr="00724BCA" w:rsidRDefault="00724BCA" w:rsidP="00724BC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75DFD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 xml:space="preserve">Correo Electrónico </w:t>
      </w:r>
      <w:r>
        <w:rPr>
          <w:rFonts w:ascii="Neo Sans Pro" w:hAnsi="Neo Sans Pro" w:cs="NeoSansPro-Regular"/>
          <w:color w:val="404040" w:themeColor="text1" w:themeTint="BF"/>
          <w:sz w:val="20"/>
          <w:szCs w:val="20"/>
        </w:rPr>
        <w:t>lbautista@fiscaliaveracruz.gob.mx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24BCA" w:rsidRDefault="00724BCA" w:rsidP="00724B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1998-2002</w:t>
      </w:r>
    </w:p>
    <w:p w:rsidR="00724BCA" w:rsidRDefault="00724BCA" w:rsidP="00724BC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 Estudios de Licenciatura en Derecho.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724BCA" w:rsidRPr="00775DFD" w:rsidRDefault="00724BCA" w:rsidP="00724BCA">
      <w:pPr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Procuraduría General de Justicia del Estado de Veracruz/Fiscalía General del Estado. </w:t>
      </w:r>
    </w:p>
    <w:p w:rsidR="00724BCA" w:rsidRPr="00775DFD" w:rsidRDefault="00724BCA" w:rsidP="00724BCA">
      <w:pPr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Fecha de Ingreso: 03 de </w:t>
      </w:r>
      <w:r>
        <w:rPr>
          <w:rFonts w:ascii="Neo Sans Pro" w:hAnsi="Neo Sans Pro" w:cs="Arial"/>
          <w:color w:val="404040" w:themeColor="text1" w:themeTint="BF"/>
          <w:sz w:val="20"/>
          <w:szCs w:val="20"/>
        </w:rPr>
        <w:t>Ju</w:t>
      </w: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nio de 2003. </w:t>
      </w:r>
    </w:p>
    <w:p w:rsidR="00724BCA" w:rsidRPr="00775DFD" w:rsidRDefault="00724BCA" w:rsidP="00724BCA">
      <w:pPr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2003-2014</w:t>
      </w:r>
    </w:p>
    <w:p w:rsidR="00724BCA" w:rsidRPr="00775DFD" w:rsidRDefault="00724BCA" w:rsidP="00724BCA">
      <w:pPr>
        <w:numPr>
          <w:ilvl w:val="0"/>
          <w:numId w:val="1"/>
        </w:numPr>
        <w:spacing w:after="0" w:line="240" w:lineRule="auto"/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Oficial Secretaria. Subprocuraduría Regional de Justicia, Zona Norte del Estado Tuxpan. Agencias del Ministerio Público Investigadoras en Tuxpan y Poza Rica. </w:t>
      </w:r>
    </w:p>
    <w:p w:rsidR="00724BCA" w:rsidRPr="00775DFD" w:rsidRDefault="00724BCA" w:rsidP="00724BCA">
      <w:pPr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2014 a la fecha:</w:t>
      </w:r>
    </w:p>
    <w:p w:rsidR="00724BCA" w:rsidRPr="00775DFD" w:rsidRDefault="00724BCA" w:rsidP="00724BCA">
      <w:pPr>
        <w:numPr>
          <w:ilvl w:val="0"/>
          <w:numId w:val="1"/>
        </w:numPr>
        <w:spacing w:after="0" w:line="240" w:lineRule="auto"/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Fiscal 2ª Especializada en Investigación de Delitos de Violencia contra la Familia, Mujeres, Niñas y Niños y de Trata de Personas, en Unidades Integral de Procuración de Justicia del V Distrito Judicial con sede en </w:t>
      </w:r>
      <w:proofErr w:type="spellStart"/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Chicontepec</w:t>
      </w:r>
      <w:proofErr w:type="spellEnd"/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.</w:t>
      </w:r>
    </w:p>
    <w:p w:rsidR="00724BCA" w:rsidRPr="00775DFD" w:rsidRDefault="00724BCA" w:rsidP="00724BCA">
      <w:pPr>
        <w:numPr>
          <w:ilvl w:val="0"/>
          <w:numId w:val="1"/>
        </w:numPr>
        <w:spacing w:after="0" w:line="240" w:lineRule="auto"/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Fiscal 3ª Especializada en Investigación de Delitos de Violencia contra la Familia, Mujeres, Niñas y Niños y de Trata de Personas, en Unidad Integral de Procuración de Justicia del VII Distrito Judicial con sede en Poza Rica.</w:t>
      </w:r>
    </w:p>
    <w:p w:rsidR="00724BCA" w:rsidRDefault="00724BCA" w:rsidP="00724BCA">
      <w:pPr>
        <w:numPr>
          <w:ilvl w:val="0"/>
          <w:numId w:val="1"/>
        </w:numPr>
        <w:spacing w:after="0" w:line="240" w:lineRule="auto"/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Fiscal 1ª Especializada en Investigación de Delitos de Violencia contra la Familia, Mujeres, Niñas y Niños y de Trata de Personas, en Unidad Integral de Procuración de Justicia del VI Distrito Judicial con sede en Tuxpan.</w:t>
      </w:r>
    </w:p>
    <w:p w:rsidR="00724BCA" w:rsidRPr="00775DFD" w:rsidRDefault="00724BCA" w:rsidP="00724BCA">
      <w:pPr>
        <w:numPr>
          <w:ilvl w:val="0"/>
          <w:numId w:val="1"/>
        </w:numPr>
        <w:spacing w:after="0" w:line="240" w:lineRule="auto"/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>
        <w:rPr>
          <w:rFonts w:ascii="Neo Sans Pro" w:hAnsi="Neo Sans Pro" w:cs="Arial"/>
          <w:color w:val="404040" w:themeColor="text1" w:themeTint="BF"/>
          <w:sz w:val="20"/>
          <w:szCs w:val="20"/>
        </w:rPr>
        <w:t>Fiscal 2</w:t>
      </w: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ª Especializada en Investigación de Delitos de Violencia contra la Familia, Mujeres, Niñas y Niños y de Trata de Personas, en Unidad Integral de Procuración de Justicia del </w:t>
      </w:r>
      <w:r>
        <w:rPr>
          <w:rFonts w:ascii="Neo Sans Pro" w:hAnsi="Neo Sans Pro" w:cs="Arial"/>
          <w:color w:val="404040" w:themeColor="text1" w:themeTint="BF"/>
          <w:sz w:val="20"/>
          <w:szCs w:val="20"/>
        </w:rPr>
        <w:t>II</w:t>
      </w: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I Distrito Judicial con sede en </w:t>
      </w:r>
      <w:r>
        <w:rPr>
          <w:rFonts w:ascii="Neo Sans Pro" w:hAnsi="Neo Sans Pro" w:cs="Arial"/>
          <w:color w:val="404040" w:themeColor="text1" w:themeTint="BF"/>
          <w:sz w:val="20"/>
          <w:szCs w:val="20"/>
        </w:rPr>
        <w:t>Tantoyuca</w:t>
      </w: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.</w:t>
      </w:r>
    </w:p>
    <w:p w:rsidR="00BB2BF2" w:rsidRPr="00724BCA" w:rsidRDefault="00BB2BF2" w:rsidP="00724BCA">
      <w:pPr>
        <w:spacing w:after="0" w:line="240" w:lineRule="auto"/>
        <w:ind w:left="720"/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724BCA" w:rsidRDefault="00724BCA" w:rsidP="00724BC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724BCA" w:rsidRDefault="00724BCA" w:rsidP="00724BC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Pr="00724BCA" w:rsidRDefault="00724BCA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RPr="00724BCA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46" w:rsidRDefault="00EA5546" w:rsidP="00AB5916">
      <w:pPr>
        <w:spacing w:after="0" w:line="240" w:lineRule="auto"/>
      </w:pPr>
      <w:r>
        <w:separator/>
      </w:r>
    </w:p>
  </w:endnote>
  <w:endnote w:type="continuationSeparator" w:id="0">
    <w:p w:rsidR="00EA5546" w:rsidRDefault="00EA554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46" w:rsidRDefault="00EA5546" w:rsidP="00AB5916">
      <w:pPr>
        <w:spacing w:after="0" w:line="240" w:lineRule="auto"/>
      </w:pPr>
      <w:r>
        <w:separator/>
      </w:r>
    </w:p>
  </w:footnote>
  <w:footnote w:type="continuationSeparator" w:id="0">
    <w:p w:rsidR="00EA5546" w:rsidRDefault="00EA554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A91"/>
    <w:multiLevelType w:val="hybridMultilevel"/>
    <w:tmpl w:val="2BC6CB24"/>
    <w:lvl w:ilvl="0" w:tplc="30E2A4D0">
      <w:start w:val="200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4BCA"/>
    <w:rsid w:val="00726727"/>
    <w:rsid w:val="00785C57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546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ESPECILIZADA</cp:lastModifiedBy>
  <cp:revision>2</cp:revision>
  <cp:lastPrinted>2019-10-08T18:25:00Z</cp:lastPrinted>
  <dcterms:created xsi:type="dcterms:W3CDTF">2019-11-01T02:24:00Z</dcterms:created>
  <dcterms:modified xsi:type="dcterms:W3CDTF">2019-11-01T02:24:00Z</dcterms:modified>
</cp:coreProperties>
</file>